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center"/>
        <w:rPr>
          <w:rFonts w:asciiTheme="majorHAnsi" w:hAnsiTheme="majorHAnsi" w:cstheme="majorHAnsi"/>
          <w:b/>
          <w:sz w:val="24"/>
        </w:rPr>
      </w:pPr>
      <w:r w:rsidRPr="00582E4C">
        <w:rPr>
          <w:rFonts w:asciiTheme="majorHAnsi" w:hAnsiTheme="majorHAnsi" w:cstheme="majorHAnsi"/>
          <w:b/>
          <w:sz w:val="24"/>
        </w:rPr>
        <w:t>Christian Conference of Asia</w:t>
      </w: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center"/>
        <w:rPr>
          <w:rFonts w:asciiTheme="majorHAnsi" w:hAnsiTheme="majorHAnsi" w:cstheme="majorHAnsi"/>
          <w:b/>
          <w:sz w:val="24"/>
        </w:rPr>
      </w:pPr>
      <w:r w:rsidRPr="00582E4C">
        <w:rPr>
          <w:rFonts w:asciiTheme="majorHAnsi" w:hAnsiTheme="majorHAnsi" w:cstheme="majorHAnsi"/>
          <w:b/>
          <w:sz w:val="24"/>
        </w:rPr>
        <w:t>Action Together in Combat</w:t>
      </w:r>
      <w:r w:rsidR="00815C7B">
        <w:rPr>
          <w:rFonts w:asciiTheme="majorHAnsi" w:hAnsiTheme="majorHAnsi" w:cstheme="majorHAnsi"/>
          <w:b/>
          <w:sz w:val="24"/>
        </w:rPr>
        <w:t>t</w:t>
      </w:r>
      <w:r w:rsidRPr="00582E4C">
        <w:rPr>
          <w:rFonts w:asciiTheme="majorHAnsi" w:hAnsiTheme="majorHAnsi" w:cstheme="majorHAnsi"/>
          <w:b/>
          <w:sz w:val="24"/>
        </w:rPr>
        <w:t>ing HIV and AIDS in Asia</w:t>
      </w: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center"/>
        <w:rPr>
          <w:rFonts w:asciiTheme="majorHAnsi" w:hAnsiTheme="majorHAnsi" w:cstheme="majorHAnsi"/>
          <w:b/>
          <w:sz w:val="24"/>
        </w:rPr>
      </w:pPr>
    </w:p>
    <w:p w:rsidR="00582E4C" w:rsidRPr="00582E4C" w:rsidRDefault="00815C7B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Skill-b</w:t>
      </w:r>
      <w:r w:rsidR="00346C2E" w:rsidRPr="00346C2E">
        <w:rPr>
          <w:rFonts w:asciiTheme="majorHAnsi" w:hAnsiTheme="majorHAnsi" w:cstheme="majorHAnsi"/>
          <w:b/>
          <w:sz w:val="24"/>
        </w:rPr>
        <w:t>uilding</w:t>
      </w:r>
      <w:r w:rsidR="001C25DE">
        <w:rPr>
          <w:rFonts w:asciiTheme="majorHAnsi" w:hAnsiTheme="majorHAnsi" w:cstheme="majorHAnsi"/>
          <w:b/>
          <w:sz w:val="24"/>
        </w:rPr>
        <w:t xml:space="preserve"> Training</w:t>
      </w:r>
      <w:r w:rsidR="00346C2E" w:rsidRPr="00346C2E">
        <w:rPr>
          <w:rFonts w:asciiTheme="majorHAnsi" w:hAnsiTheme="majorHAnsi" w:cstheme="majorHAnsi"/>
          <w:b/>
          <w:sz w:val="24"/>
        </w:rPr>
        <w:t xml:space="preserve"> for HIV Facilitators in Asia</w:t>
      </w:r>
    </w:p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center"/>
        <w:rPr>
          <w:rFonts w:asciiTheme="majorHAnsi" w:hAnsiTheme="majorHAnsi" w:cstheme="majorHAnsi"/>
          <w:b/>
          <w:sz w:val="24"/>
        </w:rPr>
      </w:pPr>
      <w:r w:rsidRPr="00582E4C">
        <w:rPr>
          <w:rFonts w:asciiTheme="majorHAnsi" w:hAnsiTheme="majorHAnsi" w:cstheme="majorHAnsi"/>
          <w:b/>
          <w:sz w:val="24"/>
        </w:rPr>
        <w:t>Concept Paper</w:t>
      </w:r>
    </w:p>
    <w:p w:rsidR="00356591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b/>
          <w:sz w:val="24"/>
        </w:rPr>
        <w:t>Date:</w:t>
      </w:r>
      <w:r w:rsidR="00815C7B">
        <w:rPr>
          <w:rFonts w:asciiTheme="majorHAnsi" w:hAnsiTheme="majorHAnsi" w:cstheme="majorHAnsi"/>
          <w:sz w:val="24"/>
        </w:rPr>
        <w:t xml:space="preserve"> 27 April – 1 May</w:t>
      </w:r>
      <w:r w:rsidR="001B3BAB">
        <w:rPr>
          <w:rFonts w:asciiTheme="majorHAnsi" w:hAnsiTheme="majorHAnsi" w:cstheme="majorHAnsi"/>
          <w:sz w:val="24"/>
        </w:rPr>
        <w:t xml:space="preserve"> 2020</w:t>
      </w:r>
      <w:r w:rsidR="00282963">
        <w:rPr>
          <w:rFonts w:asciiTheme="majorHAnsi" w:hAnsiTheme="majorHAnsi" w:cstheme="majorHAnsi"/>
          <w:sz w:val="24"/>
        </w:rPr>
        <w:t xml:space="preserve"> (including arrival and departure)</w:t>
      </w: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b/>
          <w:sz w:val="24"/>
        </w:rPr>
        <w:t>Venue:</w:t>
      </w:r>
      <w:r w:rsidRPr="00582E4C">
        <w:rPr>
          <w:rFonts w:asciiTheme="majorHAnsi" w:hAnsiTheme="majorHAnsi" w:cstheme="majorHAnsi"/>
          <w:sz w:val="24"/>
        </w:rPr>
        <w:t xml:space="preserve"> CCA Headquarters, Chiang Mai, Thailand</w:t>
      </w:r>
    </w:p>
    <w:p w:rsid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582E4C" w:rsidRP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</w:rPr>
      </w:pPr>
      <w:r w:rsidRPr="00582E4C">
        <w:rPr>
          <w:rFonts w:asciiTheme="majorHAnsi" w:hAnsiTheme="majorHAnsi" w:cstheme="majorHAnsi"/>
          <w:b/>
          <w:sz w:val="24"/>
        </w:rPr>
        <w:t>Rationale:</w:t>
      </w:r>
    </w:p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sz w:val="24"/>
        </w:rPr>
        <w:t>Asia and the Pacific is the region with the second highest number of people living with HIV</w:t>
      </w:r>
      <w:r w:rsidR="00046FD8">
        <w:rPr>
          <w:rFonts w:asciiTheme="majorHAnsi" w:hAnsiTheme="majorHAnsi" w:cstheme="majorHAnsi"/>
          <w:sz w:val="24"/>
        </w:rPr>
        <w:t xml:space="preserve"> in the world – an estimated 5.9</w:t>
      </w:r>
      <w:r w:rsidRPr="00582E4C">
        <w:rPr>
          <w:rFonts w:asciiTheme="majorHAnsi" w:hAnsiTheme="majorHAnsi" w:cstheme="majorHAnsi"/>
          <w:sz w:val="24"/>
        </w:rPr>
        <w:t xml:space="preserve"> million </w:t>
      </w:r>
      <w:r w:rsidR="00046FD8">
        <w:rPr>
          <w:rFonts w:asciiTheme="majorHAnsi" w:hAnsiTheme="majorHAnsi" w:cstheme="majorHAnsi"/>
          <w:sz w:val="24"/>
        </w:rPr>
        <w:t>in 2018. (UNAIDS 2019</w:t>
      </w:r>
      <w:r w:rsidR="00815C7B">
        <w:rPr>
          <w:rFonts w:asciiTheme="majorHAnsi" w:hAnsiTheme="majorHAnsi" w:cstheme="majorHAnsi"/>
          <w:sz w:val="24"/>
        </w:rPr>
        <w:t>,</w:t>
      </w:r>
      <w:r w:rsidRPr="00582E4C">
        <w:rPr>
          <w:rFonts w:asciiTheme="majorHAnsi" w:hAnsiTheme="majorHAnsi" w:cstheme="majorHAnsi"/>
          <w:sz w:val="24"/>
        </w:rPr>
        <w:t xml:space="preserve"> The Prevention Gap Report). Three countries </w:t>
      </w:r>
      <w:r w:rsidR="00815C7B">
        <w:rPr>
          <w:rFonts w:asciiTheme="majorHAnsi" w:hAnsiTheme="majorHAnsi" w:cstheme="majorHAnsi"/>
          <w:sz w:val="24"/>
        </w:rPr>
        <w:t>–</w:t>
      </w:r>
      <w:r w:rsidRPr="00582E4C">
        <w:rPr>
          <w:rFonts w:asciiTheme="majorHAnsi" w:hAnsiTheme="majorHAnsi" w:cstheme="majorHAnsi"/>
          <w:sz w:val="24"/>
        </w:rPr>
        <w:t xml:space="preserve"> China, India and Indonesia – account for around three-quarters of the total number of people living with HIV in the region.</w:t>
      </w:r>
    </w:p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356591" w:rsidRPr="00582E4C" w:rsidRDefault="00282963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In 2018, 31</w:t>
      </w:r>
      <w:r w:rsidR="00356591" w:rsidRPr="00582E4C">
        <w:rPr>
          <w:rFonts w:asciiTheme="majorHAnsi" w:hAnsiTheme="majorHAnsi" w:cstheme="majorHAnsi"/>
          <w:sz w:val="24"/>
        </w:rPr>
        <w:t xml:space="preserve">0,000 people became infected with HIV in the region. </w:t>
      </w:r>
      <w:r w:rsidRPr="00282963">
        <w:rPr>
          <w:rFonts w:asciiTheme="majorHAnsi" w:hAnsiTheme="majorHAnsi" w:cstheme="majorHAnsi"/>
          <w:sz w:val="24"/>
        </w:rPr>
        <w:t>It is increasingly clear that the Asia and Paciﬁc region is falling behind regions in Afric</w:t>
      </w:r>
      <w:r>
        <w:rPr>
          <w:rFonts w:asciiTheme="majorHAnsi" w:hAnsiTheme="majorHAnsi" w:cstheme="majorHAnsi"/>
          <w:sz w:val="24"/>
        </w:rPr>
        <w:t xml:space="preserve">a in its HIV response. </w:t>
      </w:r>
      <w:r w:rsidR="00815C7B">
        <w:rPr>
          <w:rFonts w:asciiTheme="majorHAnsi" w:hAnsiTheme="majorHAnsi" w:cstheme="majorHAnsi"/>
          <w:sz w:val="24"/>
        </w:rPr>
        <w:t>69 percent</w:t>
      </w:r>
      <w:r w:rsidRPr="00282963">
        <w:rPr>
          <w:rFonts w:asciiTheme="majorHAnsi" w:hAnsiTheme="majorHAnsi" w:cstheme="majorHAnsi"/>
          <w:sz w:val="24"/>
        </w:rPr>
        <w:t xml:space="preserve"> of people living with HIV in this region we</w:t>
      </w:r>
      <w:r>
        <w:rPr>
          <w:rFonts w:asciiTheme="majorHAnsi" w:hAnsiTheme="majorHAnsi" w:cstheme="majorHAnsi"/>
          <w:sz w:val="24"/>
        </w:rPr>
        <w:t xml:space="preserve">re aware of their status. Among </w:t>
      </w:r>
      <w:r w:rsidR="00815C7B">
        <w:rPr>
          <w:rFonts w:asciiTheme="majorHAnsi" w:hAnsiTheme="majorHAnsi" w:cstheme="majorHAnsi"/>
          <w:sz w:val="24"/>
        </w:rPr>
        <w:t>those diagnosed with HIV, 78 percent were on treatment of which 91 percent</w:t>
      </w:r>
      <w:r w:rsidRPr="00282963">
        <w:rPr>
          <w:rFonts w:asciiTheme="majorHAnsi" w:hAnsiTheme="majorHAnsi" w:cstheme="majorHAnsi"/>
          <w:sz w:val="24"/>
        </w:rPr>
        <w:t xml:space="preserve"> were virally suppressed. In terms of treatm</w:t>
      </w:r>
      <w:r w:rsidR="00815C7B">
        <w:rPr>
          <w:rFonts w:asciiTheme="majorHAnsi" w:hAnsiTheme="majorHAnsi" w:cstheme="majorHAnsi"/>
          <w:sz w:val="24"/>
        </w:rPr>
        <w:t>ent coverage this equates to 54 percent</w:t>
      </w:r>
      <w:r w:rsidRPr="00282963">
        <w:rPr>
          <w:rFonts w:asciiTheme="majorHAnsi" w:hAnsiTheme="majorHAnsi" w:cstheme="majorHAnsi"/>
          <w:sz w:val="24"/>
        </w:rPr>
        <w:t xml:space="preserve"> of all people living with HIV</w:t>
      </w:r>
      <w:r w:rsidR="00815C7B">
        <w:rPr>
          <w:rFonts w:asciiTheme="majorHAnsi" w:hAnsiTheme="majorHAnsi" w:cstheme="majorHAnsi"/>
          <w:sz w:val="24"/>
        </w:rPr>
        <w:t xml:space="preserve"> being on treatment and just 49 percent</w:t>
      </w:r>
      <w:r w:rsidRPr="00282963">
        <w:rPr>
          <w:rFonts w:asciiTheme="majorHAnsi" w:hAnsiTheme="majorHAnsi" w:cstheme="majorHAnsi"/>
          <w:sz w:val="24"/>
        </w:rPr>
        <w:t xml:space="preserve"> being virally suppressed.</w:t>
      </w:r>
      <w:r>
        <w:rPr>
          <w:rFonts w:asciiTheme="majorHAnsi" w:hAnsiTheme="majorHAnsi" w:cstheme="majorHAnsi"/>
          <w:sz w:val="24"/>
        </w:rPr>
        <w:t xml:space="preserve"> </w:t>
      </w:r>
      <w:r w:rsidRPr="00282963">
        <w:rPr>
          <w:rFonts w:asciiTheme="majorHAnsi" w:hAnsiTheme="majorHAnsi" w:cstheme="majorHAnsi"/>
          <w:sz w:val="24"/>
        </w:rPr>
        <w:t>Althou</w:t>
      </w:r>
      <w:r w:rsidR="00815C7B">
        <w:rPr>
          <w:rFonts w:asciiTheme="majorHAnsi" w:hAnsiTheme="majorHAnsi" w:cstheme="majorHAnsi"/>
          <w:sz w:val="24"/>
        </w:rPr>
        <w:t>gh new infections declined by 9 percent</w:t>
      </w:r>
      <w:r w:rsidRPr="00282963">
        <w:rPr>
          <w:rFonts w:asciiTheme="majorHAnsi" w:hAnsiTheme="majorHAnsi" w:cstheme="majorHAnsi"/>
          <w:sz w:val="24"/>
        </w:rPr>
        <w:t xml:space="preserve"> between 2010 and 2018, progress has slowed in recent years and new infections are</w:t>
      </w:r>
      <w:r>
        <w:rPr>
          <w:rFonts w:asciiTheme="majorHAnsi" w:hAnsiTheme="majorHAnsi" w:cstheme="majorHAnsi"/>
          <w:sz w:val="24"/>
        </w:rPr>
        <w:t xml:space="preserve"> on the rise in some countries.</w:t>
      </w:r>
      <w:r w:rsidRPr="00282963">
        <w:rPr>
          <w:rFonts w:asciiTheme="majorHAnsi" w:hAnsiTheme="majorHAnsi" w:cstheme="majorHAnsi"/>
          <w:sz w:val="24"/>
        </w:rPr>
        <w:t xml:space="preserve"> In particular, Bangladesh, the Philippines, Pakistan and Afghanistan are facing rapidly expanding HIV epidemics. The Philippines is experiencing the steepest rise</w:t>
      </w:r>
      <w:r w:rsidR="00815C7B">
        <w:rPr>
          <w:rFonts w:asciiTheme="majorHAnsi" w:hAnsiTheme="majorHAnsi" w:cstheme="majorHAnsi"/>
          <w:sz w:val="24"/>
        </w:rPr>
        <w:t>, with new infections up by 200 percent</w:t>
      </w:r>
      <w:r w:rsidRPr="00282963">
        <w:rPr>
          <w:rFonts w:asciiTheme="majorHAnsi" w:hAnsiTheme="majorHAnsi" w:cstheme="majorHAnsi"/>
          <w:sz w:val="24"/>
        </w:rPr>
        <w:t xml:space="preserve"> between 2010 and 2018. Over the same period,</w:t>
      </w:r>
      <w:r w:rsidR="00815C7B">
        <w:rPr>
          <w:rFonts w:asciiTheme="majorHAnsi" w:hAnsiTheme="majorHAnsi" w:cstheme="majorHAnsi"/>
          <w:sz w:val="24"/>
        </w:rPr>
        <w:t xml:space="preserve"> new infections rose by 57 percent</w:t>
      </w:r>
      <w:r>
        <w:rPr>
          <w:rFonts w:asciiTheme="majorHAnsi" w:hAnsiTheme="majorHAnsi" w:cstheme="majorHAnsi"/>
          <w:sz w:val="24"/>
        </w:rPr>
        <w:t xml:space="preserve"> in </w:t>
      </w:r>
      <w:r w:rsidR="00815C7B">
        <w:rPr>
          <w:rFonts w:asciiTheme="majorHAnsi" w:hAnsiTheme="majorHAnsi" w:cstheme="majorHAnsi"/>
          <w:sz w:val="24"/>
        </w:rPr>
        <w:t>Pakistan, 56 percent in Bangladesh, 49 percent</w:t>
      </w:r>
      <w:r w:rsidRPr="00282963">
        <w:rPr>
          <w:rFonts w:asciiTheme="majorHAnsi" w:hAnsiTheme="majorHAnsi" w:cstheme="majorHAnsi"/>
          <w:sz w:val="24"/>
        </w:rPr>
        <w:t xml:space="preserve"> in Afghanista</w:t>
      </w:r>
      <w:r w:rsidR="00815C7B">
        <w:rPr>
          <w:rFonts w:asciiTheme="majorHAnsi" w:hAnsiTheme="majorHAnsi" w:cstheme="majorHAnsi"/>
          <w:sz w:val="24"/>
        </w:rPr>
        <w:t>n and 26 percent</w:t>
      </w:r>
      <w:r>
        <w:rPr>
          <w:rFonts w:asciiTheme="majorHAnsi" w:hAnsiTheme="majorHAnsi" w:cstheme="majorHAnsi"/>
          <w:sz w:val="24"/>
        </w:rPr>
        <w:t xml:space="preserve"> in Papua New Guinea. </w:t>
      </w:r>
      <w:r w:rsidRPr="00282963">
        <w:rPr>
          <w:rFonts w:asciiTheme="majorHAnsi" w:hAnsiTheme="majorHAnsi" w:cstheme="majorHAnsi"/>
          <w:sz w:val="24"/>
        </w:rPr>
        <w:t xml:space="preserve">The political climate in the Philippines under President Duterte, where extrajudicial killings against people who use drugs have been sanctioned and condom use discouraged, suggests this worrying </w:t>
      </w:r>
      <w:r>
        <w:rPr>
          <w:rFonts w:asciiTheme="majorHAnsi" w:hAnsiTheme="majorHAnsi" w:cstheme="majorHAnsi"/>
          <w:sz w:val="24"/>
        </w:rPr>
        <w:t>trend is likely to continue.</w:t>
      </w:r>
    </w:p>
    <w:p w:rsidR="00582E4C" w:rsidRDefault="00582E4C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</w:rPr>
      </w:pPr>
    </w:p>
    <w:p w:rsidR="00356591" w:rsidRPr="00582E4C" w:rsidRDefault="004B5FBD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sz w:val="24"/>
        </w:rPr>
        <w:t>HIV</w:t>
      </w:r>
      <w:r w:rsidR="00356591" w:rsidRPr="00582E4C">
        <w:rPr>
          <w:rFonts w:asciiTheme="majorHAnsi" w:hAnsiTheme="majorHAnsi" w:cstheme="majorHAnsi"/>
          <w:sz w:val="24"/>
        </w:rPr>
        <w:t xml:space="preserve"> epidemic is largely characterized by concentrated and growing epidemics in key populations in </w:t>
      </w:r>
      <w:r w:rsidRPr="00582E4C">
        <w:rPr>
          <w:rFonts w:asciiTheme="majorHAnsi" w:hAnsiTheme="majorHAnsi" w:cstheme="majorHAnsi"/>
          <w:sz w:val="24"/>
        </w:rPr>
        <w:t>several</w:t>
      </w:r>
      <w:r w:rsidR="00356591" w:rsidRPr="00582E4C">
        <w:rPr>
          <w:rFonts w:asciiTheme="majorHAnsi" w:hAnsiTheme="majorHAnsi" w:cstheme="majorHAnsi"/>
          <w:sz w:val="24"/>
        </w:rPr>
        <w:t xml:space="preserve"> countries, particularly clients of sex workers and other sexual partners of key populations, </w:t>
      </w:r>
      <w:r w:rsidR="00582E4C">
        <w:rPr>
          <w:rFonts w:asciiTheme="majorHAnsi" w:hAnsiTheme="majorHAnsi" w:cstheme="majorHAnsi"/>
          <w:sz w:val="24"/>
        </w:rPr>
        <w:t>and men who have sex with men (</w:t>
      </w:r>
      <w:r w:rsidR="00356591" w:rsidRPr="00582E4C">
        <w:rPr>
          <w:rFonts w:asciiTheme="majorHAnsi" w:hAnsiTheme="majorHAnsi" w:cstheme="majorHAnsi"/>
          <w:sz w:val="24"/>
        </w:rPr>
        <w:t>referred to as MSM). Low national prevalence masks much higher prevalence among these groups and in specific locations, particularly urban areas.</w:t>
      </w:r>
    </w:p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sz w:val="24"/>
        </w:rPr>
        <w:t xml:space="preserve">The epidemic varies widely from country to country and within certain countries depending on context and the region. This highlights the importance of tailoring responses </w:t>
      </w:r>
      <w:r w:rsidR="003E16D8" w:rsidRPr="00582E4C">
        <w:rPr>
          <w:rFonts w:asciiTheme="majorHAnsi" w:hAnsiTheme="majorHAnsi" w:cstheme="majorHAnsi"/>
          <w:sz w:val="24"/>
        </w:rPr>
        <w:t xml:space="preserve">and collaboration at all levels </w:t>
      </w:r>
      <w:r w:rsidRPr="00582E4C">
        <w:rPr>
          <w:rFonts w:asciiTheme="majorHAnsi" w:hAnsiTheme="majorHAnsi" w:cstheme="majorHAnsi"/>
          <w:sz w:val="24"/>
        </w:rPr>
        <w:t xml:space="preserve">to each country’s context. </w:t>
      </w:r>
    </w:p>
    <w:p w:rsidR="00356591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</w:p>
    <w:p w:rsidR="003E16D8" w:rsidRPr="00582E4C" w:rsidRDefault="00356591" w:rsidP="00356591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sz w:val="24"/>
        </w:rPr>
        <w:t>Faith-based organizations (FBOs) have historically play</w:t>
      </w:r>
      <w:r w:rsidR="003E16D8" w:rsidRPr="00582E4C">
        <w:rPr>
          <w:rFonts w:asciiTheme="majorHAnsi" w:hAnsiTheme="majorHAnsi" w:cstheme="majorHAnsi"/>
          <w:sz w:val="24"/>
        </w:rPr>
        <w:t>ed</w:t>
      </w:r>
      <w:r w:rsidRPr="00582E4C">
        <w:rPr>
          <w:rFonts w:asciiTheme="majorHAnsi" w:hAnsiTheme="majorHAnsi" w:cstheme="majorHAnsi"/>
          <w:sz w:val="24"/>
        </w:rPr>
        <w:t xml:space="preserve"> a </w:t>
      </w:r>
      <w:r w:rsidR="003E16D8" w:rsidRPr="00582E4C">
        <w:rPr>
          <w:rFonts w:asciiTheme="majorHAnsi" w:hAnsiTheme="majorHAnsi" w:cstheme="majorHAnsi"/>
          <w:sz w:val="24"/>
        </w:rPr>
        <w:t>vital</w:t>
      </w:r>
      <w:r w:rsidRPr="00582E4C">
        <w:rPr>
          <w:rFonts w:asciiTheme="majorHAnsi" w:hAnsiTheme="majorHAnsi" w:cstheme="majorHAnsi"/>
          <w:sz w:val="24"/>
        </w:rPr>
        <w:t xml:space="preserve"> role in delivering health and social services in developing countries. In Asia and Pacific, faith and religion </w:t>
      </w:r>
      <w:r w:rsidR="003E16D8" w:rsidRPr="00582E4C">
        <w:rPr>
          <w:rFonts w:asciiTheme="majorHAnsi" w:hAnsiTheme="majorHAnsi" w:cstheme="majorHAnsi"/>
          <w:sz w:val="24"/>
        </w:rPr>
        <w:t>is</w:t>
      </w:r>
      <w:r w:rsidRPr="00582E4C">
        <w:rPr>
          <w:rFonts w:asciiTheme="majorHAnsi" w:hAnsiTheme="majorHAnsi" w:cstheme="majorHAnsi"/>
          <w:sz w:val="24"/>
        </w:rPr>
        <w:t xml:space="preserve"> imperative part in the lives of the people. H</w:t>
      </w:r>
      <w:r w:rsidR="00815C7B">
        <w:rPr>
          <w:rFonts w:asciiTheme="majorHAnsi" w:hAnsiTheme="majorHAnsi" w:cstheme="majorHAnsi"/>
          <w:sz w:val="24"/>
        </w:rPr>
        <w:t>IV is not just a health issue; i</w:t>
      </w:r>
      <w:r w:rsidRPr="00582E4C">
        <w:rPr>
          <w:rFonts w:asciiTheme="majorHAnsi" w:hAnsiTheme="majorHAnsi" w:cstheme="majorHAnsi"/>
          <w:sz w:val="24"/>
        </w:rPr>
        <w:t xml:space="preserve">t has economic, social and spiritual dimensions. </w:t>
      </w:r>
      <w:r w:rsidR="00815C7B">
        <w:rPr>
          <w:rFonts w:asciiTheme="majorHAnsi" w:hAnsiTheme="majorHAnsi" w:cstheme="majorHAnsi"/>
          <w:sz w:val="24"/>
        </w:rPr>
        <w:t>F</w:t>
      </w:r>
      <w:r w:rsidR="00665265" w:rsidRPr="00582E4C">
        <w:rPr>
          <w:rFonts w:asciiTheme="majorHAnsi" w:hAnsiTheme="majorHAnsi" w:cstheme="majorHAnsi"/>
          <w:sz w:val="24"/>
        </w:rPr>
        <w:t>aith communities have</w:t>
      </w:r>
      <w:r w:rsidRPr="00582E4C">
        <w:rPr>
          <w:rFonts w:asciiTheme="majorHAnsi" w:hAnsiTheme="majorHAnsi" w:cstheme="majorHAnsi"/>
          <w:sz w:val="24"/>
        </w:rPr>
        <w:t xml:space="preserve"> the capability to effectively deal with these dimensions. Therefore, </w:t>
      </w:r>
      <w:r w:rsidR="00815C7B">
        <w:rPr>
          <w:rFonts w:asciiTheme="majorHAnsi" w:hAnsiTheme="majorHAnsi" w:cstheme="majorHAnsi"/>
          <w:sz w:val="24"/>
        </w:rPr>
        <w:t>faith-based i</w:t>
      </w:r>
      <w:r w:rsidR="00665265" w:rsidRPr="00582E4C">
        <w:rPr>
          <w:rFonts w:asciiTheme="majorHAnsi" w:hAnsiTheme="majorHAnsi" w:cstheme="majorHAnsi"/>
          <w:sz w:val="24"/>
        </w:rPr>
        <w:t>nstitutions</w:t>
      </w:r>
      <w:r w:rsidR="00582E4C">
        <w:rPr>
          <w:rFonts w:asciiTheme="majorHAnsi" w:hAnsiTheme="majorHAnsi" w:cstheme="majorHAnsi"/>
          <w:sz w:val="24"/>
        </w:rPr>
        <w:t xml:space="preserve"> and</w:t>
      </w:r>
      <w:r w:rsidR="00815C7B">
        <w:rPr>
          <w:rFonts w:asciiTheme="majorHAnsi" w:hAnsiTheme="majorHAnsi" w:cstheme="majorHAnsi"/>
          <w:sz w:val="24"/>
        </w:rPr>
        <w:t xml:space="preserve"> their</w:t>
      </w:r>
      <w:r w:rsidR="00582E4C">
        <w:rPr>
          <w:rFonts w:asciiTheme="majorHAnsi" w:hAnsiTheme="majorHAnsi" w:cstheme="majorHAnsi"/>
          <w:sz w:val="24"/>
        </w:rPr>
        <w:t xml:space="preserve"> constituent</w:t>
      </w:r>
      <w:r w:rsidR="00815C7B">
        <w:rPr>
          <w:rFonts w:asciiTheme="majorHAnsi" w:hAnsiTheme="majorHAnsi" w:cstheme="majorHAnsi"/>
          <w:sz w:val="24"/>
        </w:rPr>
        <w:t>s play</w:t>
      </w:r>
      <w:r w:rsidR="00582E4C">
        <w:rPr>
          <w:rFonts w:asciiTheme="majorHAnsi" w:hAnsiTheme="majorHAnsi" w:cstheme="majorHAnsi"/>
          <w:sz w:val="24"/>
        </w:rPr>
        <w:t xml:space="preserve"> a</w:t>
      </w:r>
      <w:r w:rsidRPr="00582E4C">
        <w:rPr>
          <w:rFonts w:asciiTheme="majorHAnsi" w:hAnsiTheme="majorHAnsi" w:cstheme="majorHAnsi"/>
          <w:sz w:val="24"/>
        </w:rPr>
        <w:t xml:space="preserve"> </w:t>
      </w:r>
      <w:r w:rsidR="003E16D8" w:rsidRPr="00582E4C">
        <w:rPr>
          <w:rFonts w:asciiTheme="majorHAnsi" w:hAnsiTheme="majorHAnsi" w:cstheme="majorHAnsi"/>
          <w:sz w:val="24"/>
        </w:rPr>
        <w:t>significant</w:t>
      </w:r>
      <w:r w:rsidRPr="00582E4C">
        <w:rPr>
          <w:rFonts w:asciiTheme="majorHAnsi" w:hAnsiTheme="majorHAnsi" w:cstheme="majorHAnsi"/>
          <w:sz w:val="24"/>
        </w:rPr>
        <w:t xml:space="preserve"> role in reducing </w:t>
      </w:r>
      <w:r w:rsidRPr="00582E4C">
        <w:rPr>
          <w:rFonts w:asciiTheme="majorHAnsi" w:hAnsiTheme="majorHAnsi" w:cstheme="majorHAnsi"/>
          <w:sz w:val="24"/>
        </w:rPr>
        <w:lastRenderedPageBreak/>
        <w:t>stigma and discrimination, prevention, care</w:t>
      </w:r>
      <w:r w:rsidR="00815C7B">
        <w:rPr>
          <w:rFonts w:asciiTheme="majorHAnsi" w:hAnsiTheme="majorHAnsi" w:cstheme="majorHAnsi"/>
          <w:sz w:val="24"/>
        </w:rPr>
        <w:t>,</w:t>
      </w:r>
      <w:r w:rsidRPr="00582E4C">
        <w:rPr>
          <w:rFonts w:asciiTheme="majorHAnsi" w:hAnsiTheme="majorHAnsi" w:cstheme="majorHAnsi"/>
          <w:sz w:val="24"/>
        </w:rPr>
        <w:t xml:space="preserve"> and support of People Living with HIV in the community</w:t>
      </w:r>
      <w:r w:rsidR="003E16D8" w:rsidRPr="00582E4C">
        <w:rPr>
          <w:rFonts w:asciiTheme="majorHAnsi" w:hAnsiTheme="majorHAnsi" w:cstheme="majorHAnsi"/>
          <w:sz w:val="24"/>
        </w:rPr>
        <w:t xml:space="preserve">. </w:t>
      </w:r>
    </w:p>
    <w:p w:rsidR="009834F6" w:rsidRPr="00582E4C" w:rsidRDefault="009834F6" w:rsidP="00356591">
      <w:pPr>
        <w:tabs>
          <w:tab w:val="left" w:pos="9360"/>
        </w:tabs>
        <w:ind w:right="-144"/>
        <w:jc w:val="both"/>
        <w:rPr>
          <w:rFonts w:asciiTheme="majorHAnsi" w:hAnsiTheme="majorHAnsi" w:cstheme="majorHAnsi"/>
          <w:sz w:val="24"/>
          <w:lang w:bidi="ta-IN"/>
        </w:rPr>
      </w:pPr>
    </w:p>
    <w:p w:rsidR="0050120C" w:rsidRPr="00582E4C" w:rsidRDefault="00F57453" w:rsidP="00356591">
      <w:pPr>
        <w:tabs>
          <w:tab w:val="left" w:pos="9360"/>
        </w:tabs>
        <w:ind w:right="-144"/>
        <w:jc w:val="both"/>
        <w:rPr>
          <w:rFonts w:asciiTheme="majorHAnsi" w:hAnsiTheme="majorHAnsi" w:cstheme="majorHAnsi"/>
          <w:sz w:val="24"/>
          <w:lang w:bidi="ta-IN"/>
        </w:rPr>
      </w:pPr>
      <w:r w:rsidRPr="00582E4C">
        <w:rPr>
          <w:rFonts w:asciiTheme="majorHAnsi" w:hAnsiTheme="majorHAnsi" w:cstheme="majorHAnsi"/>
          <w:sz w:val="24"/>
        </w:rPr>
        <w:t xml:space="preserve">HIV and AIDS has been a special focus of Christian Conference of Asia, and several skill building and advocacy programme have been conducted to address the issues, as well as efforts to build </w:t>
      </w:r>
      <w:r w:rsidR="00815C7B">
        <w:rPr>
          <w:rFonts w:asciiTheme="majorHAnsi" w:hAnsiTheme="majorHAnsi" w:cstheme="majorHAnsi"/>
          <w:sz w:val="24"/>
        </w:rPr>
        <w:t>HIV-</w:t>
      </w:r>
      <w:r w:rsidRPr="00582E4C">
        <w:rPr>
          <w:rFonts w:asciiTheme="majorHAnsi" w:hAnsiTheme="majorHAnsi" w:cstheme="majorHAnsi"/>
          <w:sz w:val="24"/>
        </w:rPr>
        <w:t>competent church</w:t>
      </w:r>
      <w:r w:rsidR="00815C7B">
        <w:rPr>
          <w:rFonts w:asciiTheme="majorHAnsi" w:hAnsiTheme="majorHAnsi" w:cstheme="majorHAnsi"/>
          <w:sz w:val="24"/>
        </w:rPr>
        <w:t>es and communities</w:t>
      </w:r>
      <w:r w:rsidRPr="00582E4C">
        <w:rPr>
          <w:rFonts w:asciiTheme="majorHAnsi" w:hAnsiTheme="majorHAnsi" w:cstheme="majorHAnsi"/>
          <w:sz w:val="24"/>
        </w:rPr>
        <w:t xml:space="preserve">. With this, </w:t>
      </w:r>
      <w:r w:rsidRPr="00582E4C">
        <w:rPr>
          <w:rFonts w:asciiTheme="majorHAnsi" w:hAnsiTheme="majorHAnsi" w:cstheme="majorHAnsi"/>
          <w:sz w:val="24"/>
          <w:lang w:bidi="ta-IN"/>
        </w:rPr>
        <w:t xml:space="preserve">the need for </w:t>
      </w:r>
      <w:r w:rsidR="0050120C" w:rsidRPr="00582E4C">
        <w:rPr>
          <w:rFonts w:asciiTheme="majorHAnsi" w:hAnsiTheme="majorHAnsi" w:cstheme="majorHAnsi"/>
          <w:sz w:val="24"/>
          <w:lang w:bidi="ta-IN"/>
        </w:rPr>
        <w:t>C</w:t>
      </w:r>
      <w:r w:rsidR="00815C7B">
        <w:rPr>
          <w:rFonts w:asciiTheme="majorHAnsi" w:hAnsiTheme="majorHAnsi" w:cstheme="majorHAnsi"/>
          <w:sz w:val="24"/>
          <w:lang w:bidi="ta-IN"/>
        </w:rPr>
        <w:t>CA member churches and e</w:t>
      </w:r>
      <w:r w:rsidR="0050120C" w:rsidRPr="00582E4C">
        <w:rPr>
          <w:rFonts w:asciiTheme="majorHAnsi" w:hAnsiTheme="majorHAnsi" w:cstheme="majorHAnsi"/>
          <w:sz w:val="24"/>
          <w:lang w:bidi="ta-IN"/>
        </w:rPr>
        <w:t xml:space="preserve">cumenical partners </w:t>
      </w:r>
      <w:r w:rsidRPr="00582E4C">
        <w:rPr>
          <w:rFonts w:asciiTheme="majorHAnsi" w:hAnsiTheme="majorHAnsi" w:cstheme="majorHAnsi"/>
          <w:sz w:val="24"/>
          <w:lang w:bidi="ta-IN"/>
        </w:rPr>
        <w:t xml:space="preserve">in </w:t>
      </w:r>
      <w:r w:rsidR="0050120C" w:rsidRPr="00582E4C">
        <w:rPr>
          <w:rFonts w:asciiTheme="majorHAnsi" w:hAnsiTheme="majorHAnsi" w:cstheme="majorHAnsi"/>
          <w:sz w:val="24"/>
          <w:lang w:bidi="ta-IN"/>
        </w:rPr>
        <w:t>strengthen</w:t>
      </w:r>
      <w:r w:rsidRPr="00582E4C">
        <w:rPr>
          <w:rFonts w:asciiTheme="majorHAnsi" w:hAnsiTheme="majorHAnsi" w:cstheme="majorHAnsi"/>
          <w:sz w:val="24"/>
          <w:lang w:bidi="ta-IN"/>
        </w:rPr>
        <w:t>ing</w:t>
      </w:r>
      <w:r w:rsidR="0050120C" w:rsidRPr="00582E4C">
        <w:rPr>
          <w:rFonts w:asciiTheme="majorHAnsi" w:hAnsiTheme="majorHAnsi" w:cstheme="majorHAnsi"/>
          <w:sz w:val="24"/>
          <w:lang w:bidi="ta-IN"/>
        </w:rPr>
        <w:t xml:space="preserve"> the partnership with the grass root level church based HIV and AIDS prevention working groups, civil society organizations and clients to avail their ser</w:t>
      </w:r>
      <w:r w:rsidRPr="00582E4C">
        <w:rPr>
          <w:rFonts w:asciiTheme="majorHAnsi" w:hAnsiTheme="majorHAnsi" w:cstheme="majorHAnsi"/>
          <w:sz w:val="24"/>
          <w:lang w:bidi="ta-IN"/>
        </w:rPr>
        <w:t>vices and participation in</w:t>
      </w:r>
      <w:r w:rsidR="0050120C" w:rsidRPr="00582E4C">
        <w:rPr>
          <w:rFonts w:asciiTheme="majorHAnsi" w:hAnsiTheme="majorHAnsi" w:cstheme="majorHAnsi"/>
          <w:sz w:val="24"/>
          <w:lang w:bidi="ta-IN"/>
        </w:rPr>
        <w:t xml:space="preserve"> advo</w:t>
      </w:r>
      <w:r w:rsidRPr="00582E4C">
        <w:rPr>
          <w:rFonts w:asciiTheme="majorHAnsi" w:hAnsiTheme="majorHAnsi" w:cstheme="majorHAnsi"/>
          <w:sz w:val="24"/>
          <w:lang w:bidi="ta-IN"/>
        </w:rPr>
        <w:t>cacy programmes is highly evident.</w:t>
      </w:r>
    </w:p>
    <w:p w:rsidR="0050120C" w:rsidRPr="00582E4C" w:rsidRDefault="0050120C" w:rsidP="00356591">
      <w:pPr>
        <w:tabs>
          <w:tab w:val="left" w:pos="9360"/>
        </w:tabs>
        <w:ind w:right="-144"/>
        <w:jc w:val="both"/>
        <w:rPr>
          <w:rFonts w:asciiTheme="majorHAnsi" w:hAnsiTheme="majorHAnsi" w:cstheme="majorHAnsi"/>
          <w:sz w:val="24"/>
          <w:lang w:bidi="ta-IN"/>
        </w:rPr>
      </w:pPr>
    </w:p>
    <w:p w:rsidR="00A9446D" w:rsidRPr="00A9446D" w:rsidRDefault="00493A8A" w:rsidP="00A9446D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</w:pPr>
      <w:r w:rsidRPr="00582E4C">
        <w:rPr>
          <w:rFonts w:asciiTheme="majorHAnsi" w:hAnsiTheme="majorHAnsi" w:cstheme="majorHAnsi"/>
          <w:sz w:val="24"/>
        </w:rPr>
        <w:t>In order to eff</w:t>
      </w:r>
      <w:r w:rsidR="00FC19A2">
        <w:rPr>
          <w:rFonts w:asciiTheme="majorHAnsi" w:hAnsiTheme="majorHAnsi" w:cstheme="majorHAnsi"/>
          <w:sz w:val="24"/>
        </w:rPr>
        <w:t>ectively respond to HIV with its member churches and c</w:t>
      </w:r>
      <w:r w:rsidRPr="00582E4C">
        <w:rPr>
          <w:rFonts w:asciiTheme="majorHAnsi" w:hAnsiTheme="majorHAnsi" w:cstheme="majorHAnsi"/>
          <w:sz w:val="24"/>
        </w:rPr>
        <w:t xml:space="preserve">ouncils, CCA is journeying on building capacity of its members to become inclusive and relevant for People Living with HIV through its Action Together </w:t>
      </w:r>
      <w:r w:rsidR="00FC19A2">
        <w:rPr>
          <w:rFonts w:asciiTheme="majorHAnsi" w:hAnsiTheme="majorHAnsi" w:cstheme="majorHAnsi"/>
          <w:sz w:val="24"/>
        </w:rPr>
        <w:t>in Combatting</w:t>
      </w:r>
      <w:r w:rsidRPr="00582E4C">
        <w:rPr>
          <w:rFonts w:asciiTheme="majorHAnsi" w:hAnsiTheme="majorHAnsi" w:cstheme="majorHAnsi"/>
          <w:sz w:val="24"/>
        </w:rPr>
        <w:t xml:space="preserve"> HIV and AIDS in Asia (ATCHAA) programme.</w:t>
      </w:r>
      <w:r w:rsidR="00FC19A2">
        <w:rPr>
          <w:rFonts w:asciiTheme="majorHAnsi" w:hAnsiTheme="majorHAnsi" w:cstheme="majorHAnsi"/>
          <w:sz w:val="24"/>
        </w:rPr>
        <w:t xml:space="preserve"> The regional skill-</w:t>
      </w:r>
      <w:r w:rsidR="00A9446D">
        <w:rPr>
          <w:rFonts w:asciiTheme="majorHAnsi" w:hAnsiTheme="majorHAnsi" w:cstheme="majorHAnsi"/>
          <w:sz w:val="24"/>
        </w:rPr>
        <w:t>building workshop will e</w:t>
      </w:r>
      <w:r w:rsidR="00A9446D" w:rsidRPr="00A9446D">
        <w:rPr>
          <w:rFonts w:asciiTheme="majorHAnsi" w:hAnsiTheme="majorHAnsi" w:cstheme="majorHAnsi"/>
          <w:sz w:val="24"/>
        </w:rPr>
        <w:t>nable participants to gain skills and knowledg</w:t>
      </w:r>
      <w:r w:rsidR="00A9446D">
        <w:rPr>
          <w:rFonts w:asciiTheme="majorHAnsi" w:hAnsiTheme="majorHAnsi" w:cstheme="majorHAnsi"/>
          <w:sz w:val="24"/>
        </w:rPr>
        <w:t>e that will help them and others to respond effectively and advocate to HIV and other related issues.</w:t>
      </w:r>
    </w:p>
    <w:p w:rsidR="00F57453" w:rsidRPr="00582E4C" w:rsidRDefault="00F57453" w:rsidP="00733D37">
      <w:pPr>
        <w:pStyle w:val="ListParagraph"/>
        <w:tabs>
          <w:tab w:val="clear" w:pos="357"/>
          <w:tab w:val="clear" w:pos="539"/>
          <w:tab w:val="clear" w:pos="1077"/>
          <w:tab w:val="clear" w:pos="3958"/>
          <w:tab w:val="clear" w:pos="5585"/>
        </w:tabs>
        <w:ind w:left="0"/>
        <w:jc w:val="both"/>
        <w:rPr>
          <w:rFonts w:asciiTheme="majorHAnsi" w:hAnsiTheme="majorHAnsi" w:cstheme="majorHAnsi"/>
          <w:b/>
          <w:sz w:val="24"/>
          <w:lang w:val="en-US"/>
        </w:rPr>
      </w:pP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b/>
          <w:sz w:val="24"/>
          <w:lang w:val="en-US"/>
        </w:rPr>
        <w:t>Objective</w:t>
      </w:r>
      <w:r w:rsidR="00FC19A2">
        <w:rPr>
          <w:rFonts w:asciiTheme="majorHAnsi" w:hAnsiTheme="majorHAnsi" w:cstheme="majorHAnsi"/>
          <w:b/>
          <w:sz w:val="24"/>
          <w:lang w:val="en-US"/>
        </w:rPr>
        <w:t>s</w:t>
      </w:r>
      <w:r w:rsidRPr="006424CA">
        <w:rPr>
          <w:rFonts w:asciiTheme="majorHAnsi" w:hAnsiTheme="majorHAnsi" w:cstheme="majorHAnsi"/>
          <w:b/>
          <w:sz w:val="24"/>
          <w:lang w:val="en-US"/>
        </w:rPr>
        <w:t>:</w:t>
      </w:r>
      <w:r w:rsidRPr="006424CA">
        <w:rPr>
          <w:rFonts w:asciiTheme="majorHAnsi" w:hAnsiTheme="majorHAnsi" w:cstheme="majorHAnsi"/>
          <w:sz w:val="24"/>
          <w:lang w:val="en-US"/>
        </w:rPr>
        <w:t xml:space="preserve"> </w:t>
      </w:r>
    </w:p>
    <w:p w:rsidR="006424CA" w:rsidRPr="006424CA" w:rsidRDefault="006424CA" w:rsidP="006424CA">
      <w:pPr>
        <w:numPr>
          <w:ilvl w:val="0"/>
          <w:numId w:val="9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 xml:space="preserve">To equip </w:t>
      </w:r>
      <w:r w:rsidR="00FC19A2">
        <w:rPr>
          <w:rFonts w:asciiTheme="majorHAnsi" w:hAnsiTheme="majorHAnsi" w:cstheme="majorHAnsi"/>
          <w:sz w:val="24"/>
          <w:lang w:val="en-US"/>
        </w:rPr>
        <w:t>f</w:t>
      </w:r>
      <w:r w:rsidRPr="006424CA">
        <w:rPr>
          <w:rFonts w:asciiTheme="majorHAnsi" w:hAnsiTheme="majorHAnsi" w:cstheme="majorHAnsi"/>
          <w:sz w:val="24"/>
          <w:lang w:val="en-US"/>
        </w:rPr>
        <w:t xml:space="preserve">acilitators for HIV </w:t>
      </w:r>
      <w:r w:rsidR="001C25DE">
        <w:rPr>
          <w:rFonts w:asciiTheme="majorHAnsi" w:hAnsiTheme="majorHAnsi" w:cstheme="majorHAnsi"/>
          <w:sz w:val="24"/>
          <w:lang w:val="en-US"/>
        </w:rPr>
        <w:t xml:space="preserve">response </w:t>
      </w:r>
      <w:r w:rsidRPr="006424CA">
        <w:rPr>
          <w:rFonts w:asciiTheme="majorHAnsi" w:hAnsiTheme="majorHAnsi" w:cstheme="majorHAnsi"/>
          <w:sz w:val="24"/>
          <w:lang w:val="en-US"/>
        </w:rPr>
        <w:t>in Asia</w:t>
      </w:r>
      <w:r w:rsidR="00FC19A2">
        <w:rPr>
          <w:rFonts w:asciiTheme="majorHAnsi" w:hAnsiTheme="majorHAnsi" w:cstheme="majorHAnsi"/>
          <w:sz w:val="24"/>
          <w:lang w:val="en-US"/>
        </w:rPr>
        <w:t>,</w:t>
      </w:r>
      <w:r w:rsidRPr="006424CA">
        <w:rPr>
          <w:rFonts w:asciiTheme="majorHAnsi" w:hAnsiTheme="majorHAnsi" w:cstheme="majorHAnsi"/>
          <w:sz w:val="24"/>
          <w:lang w:val="en-US"/>
        </w:rPr>
        <w:t xml:space="preserve"> </w:t>
      </w:r>
    </w:p>
    <w:p w:rsidR="006424CA" w:rsidRPr="006424CA" w:rsidRDefault="006424CA" w:rsidP="006424CA">
      <w:pPr>
        <w:numPr>
          <w:ilvl w:val="0"/>
          <w:numId w:val="9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To develop a Regional Strategy of Inclusiveness of Churches with regards to HIV</w:t>
      </w:r>
      <w:r w:rsidR="00FC19A2">
        <w:rPr>
          <w:rFonts w:asciiTheme="majorHAnsi" w:hAnsiTheme="majorHAnsi" w:cstheme="majorHAnsi"/>
          <w:sz w:val="24"/>
          <w:lang w:val="en-US"/>
        </w:rPr>
        <w:t>,</w:t>
      </w:r>
    </w:p>
    <w:p w:rsidR="006424CA" w:rsidRPr="006424CA" w:rsidRDefault="006424CA" w:rsidP="006424CA">
      <w:pPr>
        <w:numPr>
          <w:ilvl w:val="0"/>
          <w:numId w:val="9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To strengthen Churches’ HIV and AIDS advocacy</w:t>
      </w:r>
      <w:r w:rsidR="00FC19A2">
        <w:rPr>
          <w:rFonts w:asciiTheme="majorHAnsi" w:hAnsiTheme="majorHAnsi" w:cstheme="majorHAnsi"/>
          <w:sz w:val="24"/>
          <w:lang w:val="en-US"/>
        </w:rPr>
        <w:t>.</w:t>
      </w: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  <w:lang w:val="en-US"/>
        </w:rPr>
      </w:pP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  <w:lang w:val="en-US"/>
        </w:rPr>
      </w:pPr>
      <w:r w:rsidRPr="006424CA">
        <w:rPr>
          <w:rFonts w:asciiTheme="majorHAnsi" w:hAnsiTheme="majorHAnsi" w:cstheme="majorHAnsi"/>
          <w:b/>
          <w:sz w:val="24"/>
          <w:lang w:val="en-US"/>
        </w:rPr>
        <w:t>Expected Outcome</w:t>
      </w:r>
      <w:r w:rsidR="00FC19A2">
        <w:rPr>
          <w:rFonts w:asciiTheme="majorHAnsi" w:hAnsiTheme="majorHAnsi" w:cstheme="majorHAnsi"/>
          <w:b/>
          <w:sz w:val="24"/>
          <w:lang w:val="en-US"/>
        </w:rPr>
        <w:t>s</w:t>
      </w:r>
      <w:r w:rsidRPr="006424CA">
        <w:rPr>
          <w:rFonts w:asciiTheme="majorHAnsi" w:hAnsiTheme="majorHAnsi" w:cstheme="majorHAnsi"/>
          <w:b/>
          <w:sz w:val="24"/>
          <w:lang w:val="en-US"/>
        </w:rPr>
        <w:t>:</w:t>
      </w:r>
    </w:p>
    <w:p w:rsidR="006424CA" w:rsidRPr="006424CA" w:rsidRDefault="006424CA" w:rsidP="006424CA">
      <w:pPr>
        <w:numPr>
          <w:ilvl w:val="0"/>
          <w:numId w:val="10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 xml:space="preserve">Facilitators are trained to assess and </w:t>
      </w:r>
      <w:r w:rsidR="00FC19A2">
        <w:rPr>
          <w:rFonts w:asciiTheme="majorHAnsi" w:hAnsiTheme="majorHAnsi" w:cstheme="majorHAnsi"/>
          <w:sz w:val="24"/>
          <w:lang w:val="en-US"/>
        </w:rPr>
        <w:t>make action plans with Churches.</w:t>
      </w:r>
    </w:p>
    <w:p w:rsidR="006424CA" w:rsidRPr="006424CA" w:rsidRDefault="006424CA" w:rsidP="006424CA">
      <w:pPr>
        <w:numPr>
          <w:ilvl w:val="0"/>
          <w:numId w:val="10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Exchange of Learning on various models of good practices in the region</w:t>
      </w:r>
      <w:r w:rsidR="00FC19A2">
        <w:rPr>
          <w:rFonts w:asciiTheme="majorHAnsi" w:hAnsiTheme="majorHAnsi" w:cstheme="majorHAnsi"/>
          <w:sz w:val="24"/>
          <w:lang w:val="en-US"/>
        </w:rPr>
        <w:t>.</w:t>
      </w:r>
    </w:p>
    <w:p w:rsidR="006424CA" w:rsidRDefault="006424CA" w:rsidP="006424CA">
      <w:pPr>
        <w:numPr>
          <w:ilvl w:val="0"/>
          <w:numId w:val="10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Advocacy and networ</w:t>
      </w:r>
      <w:r w:rsidR="001C25DE">
        <w:rPr>
          <w:rFonts w:asciiTheme="majorHAnsi" w:hAnsiTheme="majorHAnsi" w:cstheme="majorHAnsi"/>
          <w:sz w:val="24"/>
          <w:lang w:val="en-US"/>
        </w:rPr>
        <w:t>king among Churches, Councils and partner organizations</w:t>
      </w:r>
      <w:r w:rsidR="00FC19A2">
        <w:rPr>
          <w:rFonts w:asciiTheme="majorHAnsi" w:hAnsiTheme="majorHAnsi" w:cstheme="majorHAnsi"/>
          <w:sz w:val="24"/>
          <w:lang w:val="en-US"/>
        </w:rPr>
        <w:t>.</w:t>
      </w:r>
    </w:p>
    <w:p w:rsidR="00A9446D" w:rsidRPr="00A9446D" w:rsidRDefault="00A9446D" w:rsidP="001C25DE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ind w:left="360"/>
        <w:jc w:val="both"/>
        <w:rPr>
          <w:rFonts w:asciiTheme="majorHAnsi" w:hAnsiTheme="majorHAnsi" w:cstheme="majorHAnsi"/>
          <w:sz w:val="24"/>
          <w:lang w:val="en-US"/>
        </w:rPr>
      </w:pP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  <w:lang w:val="en-US"/>
        </w:rPr>
      </w:pPr>
      <w:r w:rsidRPr="006424CA">
        <w:rPr>
          <w:rFonts w:asciiTheme="majorHAnsi" w:hAnsiTheme="majorHAnsi" w:cstheme="majorHAnsi"/>
          <w:b/>
          <w:sz w:val="24"/>
          <w:lang w:val="en-US"/>
        </w:rPr>
        <w:t>Methodology:</w:t>
      </w:r>
    </w:p>
    <w:p w:rsidR="006424CA" w:rsidRPr="006424CA" w:rsidRDefault="006424CA" w:rsidP="006424CA">
      <w:pPr>
        <w:numPr>
          <w:ilvl w:val="0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Appreciative Inquiry: To understand the strengths and opportunities in the Churches and Councils</w:t>
      </w:r>
    </w:p>
    <w:p w:rsidR="006424CA" w:rsidRPr="006424CA" w:rsidRDefault="006424CA" w:rsidP="006424CA">
      <w:pPr>
        <w:numPr>
          <w:ilvl w:val="0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Assessment Tool for Churches Response to HIV: Using various frameworks that include</w:t>
      </w:r>
    </w:p>
    <w:p w:rsidR="006424CA" w:rsidRPr="006424CA" w:rsidRDefault="006424CA" w:rsidP="006424CA">
      <w:pPr>
        <w:numPr>
          <w:ilvl w:val="1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Building Awareness and Stigma Reduction</w:t>
      </w:r>
    </w:p>
    <w:p w:rsidR="006424CA" w:rsidRPr="006424CA" w:rsidRDefault="006424CA" w:rsidP="006424CA">
      <w:pPr>
        <w:numPr>
          <w:ilvl w:val="1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Prevention</w:t>
      </w:r>
    </w:p>
    <w:p w:rsidR="006424CA" w:rsidRPr="006424CA" w:rsidRDefault="006424CA" w:rsidP="006424CA">
      <w:pPr>
        <w:numPr>
          <w:ilvl w:val="1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Care, Support and Treatment</w:t>
      </w:r>
    </w:p>
    <w:p w:rsidR="006424CA" w:rsidRPr="006424CA" w:rsidRDefault="006424CA" w:rsidP="006424CA">
      <w:pPr>
        <w:numPr>
          <w:ilvl w:val="1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Outreach</w:t>
      </w:r>
    </w:p>
    <w:p w:rsidR="006424CA" w:rsidRPr="006424CA" w:rsidRDefault="006424CA" w:rsidP="006424CA">
      <w:pPr>
        <w:numPr>
          <w:ilvl w:val="1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Inclusiveness of the Church</w:t>
      </w:r>
    </w:p>
    <w:p w:rsidR="00C26CE8" w:rsidRDefault="00C26CE8" w:rsidP="006424CA">
      <w:pPr>
        <w:numPr>
          <w:ilvl w:val="0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  <w:lang w:val="en-US"/>
        </w:rPr>
        <w:t>Theological Reflections</w:t>
      </w:r>
    </w:p>
    <w:p w:rsidR="00C26CE8" w:rsidRDefault="00C26CE8" w:rsidP="006424CA">
      <w:pPr>
        <w:numPr>
          <w:ilvl w:val="0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  <w:lang w:val="en-US"/>
        </w:rPr>
        <w:t>Presentations and workshops</w:t>
      </w:r>
    </w:p>
    <w:p w:rsidR="006424CA" w:rsidRPr="006424CA" w:rsidRDefault="006424CA" w:rsidP="006424CA">
      <w:pPr>
        <w:numPr>
          <w:ilvl w:val="0"/>
          <w:numId w:val="8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Action Plan for Churches: Based on the assessment and learnings from other Churches</w:t>
      </w: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b/>
          <w:sz w:val="24"/>
          <w:lang w:val="en-US"/>
        </w:rPr>
      </w:pPr>
      <w:r>
        <w:rPr>
          <w:rFonts w:asciiTheme="majorHAnsi" w:hAnsiTheme="majorHAnsi" w:cstheme="majorHAnsi"/>
          <w:b/>
          <w:sz w:val="24"/>
          <w:lang w:val="en-US"/>
        </w:rPr>
        <w:t>Participants</w:t>
      </w:r>
    </w:p>
    <w:p w:rsidR="006424CA" w:rsidRPr="006424CA" w:rsidRDefault="006424CA" w:rsidP="006424C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  <w:lang w:val="en-US"/>
        </w:rPr>
        <w:t>A total of 35 participants coming from:</w:t>
      </w:r>
    </w:p>
    <w:p w:rsidR="006424CA" w:rsidRPr="006424CA" w:rsidRDefault="006424CA" w:rsidP="006424CA">
      <w:pPr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CCA member Councils and Churches</w:t>
      </w:r>
    </w:p>
    <w:p w:rsidR="006424CA" w:rsidRPr="006424CA" w:rsidRDefault="006424CA" w:rsidP="006424CA">
      <w:pPr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Church Leaders</w:t>
      </w:r>
    </w:p>
    <w:p w:rsidR="006424CA" w:rsidRPr="006424CA" w:rsidRDefault="006424CA" w:rsidP="006424CA">
      <w:pPr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 w:rsidRPr="006424CA">
        <w:rPr>
          <w:rFonts w:asciiTheme="majorHAnsi" w:hAnsiTheme="majorHAnsi" w:cstheme="majorHAnsi"/>
          <w:sz w:val="24"/>
          <w:lang w:val="en-US"/>
        </w:rPr>
        <w:t>UNAIDS, L</w:t>
      </w:r>
      <w:bookmarkStart w:id="0" w:name="_GoBack"/>
      <w:bookmarkEnd w:id="0"/>
      <w:r w:rsidRPr="006424CA">
        <w:rPr>
          <w:rFonts w:asciiTheme="majorHAnsi" w:hAnsiTheme="majorHAnsi" w:cstheme="majorHAnsi"/>
          <w:sz w:val="24"/>
          <w:lang w:val="en-US"/>
        </w:rPr>
        <w:t>ike-minded Organizations</w:t>
      </w:r>
    </w:p>
    <w:p w:rsidR="00765EE9" w:rsidRPr="00A9446D" w:rsidRDefault="006424CA" w:rsidP="00765EE9">
      <w:pPr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  <w:lang w:val="en-US"/>
        </w:rPr>
        <w:t>PLHIV Networks</w:t>
      </w:r>
    </w:p>
    <w:p w:rsidR="00765EE9" w:rsidRDefault="00765EE9" w:rsidP="00765EE9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jc w:val="both"/>
        <w:rPr>
          <w:rFonts w:asciiTheme="majorHAnsi" w:hAnsiTheme="majorHAnsi" w:cstheme="majorHAnsi"/>
          <w:sz w:val="24"/>
        </w:rPr>
        <w:sectPr w:rsidR="00765EE9" w:rsidSect="00072C5D"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6424CA" w:rsidRPr="006424CA" w:rsidRDefault="006424CA" w:rsidP="006424CA">
      <w:pPr>
        <w:jc w:val="center"/>
        <w:rPr>
          <w:rFonts w:asciiTheme="majorHAnsi" w:hAnsiTheme="majorHAnsi" w:cstheme="majorHAnsi"/>
          <w:b/>
          <w:sz w:val="24"/>
          <w:szCs w:val="22"/>
        </w:rPr>
      </w:pPr>
      <w:r w:rsidRPr="006424CA">
        <w:rPr>
          <w:rFonts w:asciiTheme="majorHAnsi" w:hAnsiTheme="majorHAnsi" w:cstheme="majorHAnsi"/>
          <w:b/>
          <w:sz w:val="24"/>
          <w:szCs w:val="22"/>
        </w:rPr>
        <w:lastRenderedPageBreak/>
        <w:t>Christian Conference of Asia</w:t>
      </w:r>
    </w:p>
    <w:p w:rsidR="006424CA" w:rsidRPr="006424CA" w:rsidRDefault="006424CA" w:rsidP="001C25DE">
      <w:pPr>
        <w:jc w:val="center"/>
        <w:rPr>
          <w:rFonts w:asciiTheme="majorHAnsi" w:hAnsiTheme="majorHAnsi" w:cstheme="majorHAnsi"/>
          <w:b/>
          <w:sz w:val="24"/>
          <w:szCs w:val="22"/>
        </w:rPr>
      </w:pPr>
      <w:r w:rsidRPr="006424CA">
        <w:rPr>
          <w:rFonts w:asciiTheme="majorHAnsi" w:hAnsiTheme="majorHAnsi" w:cstheme="majorHAnsi"/>
          <w:b/>
          <w:sz w:val="24"/>
          <w:szCs w:val="22"/>
        </w:rPr>
        <w:t>Action Together to Combat HIV and AIDS in Asia (ATCHAA)</w:t>
      </w:r>
    </w:p>
    <w:p w:rsidR="006424CA" w:rsidRDefault="006424CA" w:rsidP="006424CA">
      <w:pPr>
        <w:jc w:val="center"/>
        <w:rPr>
          <w:rFonts w:asciiTheme="majorHAnsi" w:hAnsiTheme="majorHAnsi" w:cstheme="majorHAnsi"/>
          <w:b/>
          <w:sz w:val="24"/>
          <w:szCs w:val="22"/>
        </w:rPr>
      </w:pPr>
      <w:r w:rsidRPr="006424CA">
        <w:rPr>
          <w:rFonts w:asciiTheme="majorHAnsi" w:hAnsiTheme="majorHAnsi" w:cstheme="majorHAnsi"/>
          <w:b/>
          <w:sz w:val="24"/>
          <w:szCs w:val="22"/>
        </w:rPr>
        <w:t xml:space="preserve">Regional Skill Building for HIV Facilitators </w:t>
      </w:r>
      <w:r>
        <w:rPr>
          <w:rFonts w:asciiTheme="majorHAnsi" w:hAnsiTheme="majorHAnsi" w:cstheme="majorHAnsi"/>
          <w:b/>
          <w:sz w:val="24"/>
          <w:szCs w:val="22"/>
        </w:rPr>
        <w:t>o</w:t>
      </w:r>
      <w:r w:rsidRPr="006424CA">
        <w:rPr>
          <w:rFonts w:asciiTheme="majorHAnsi" w:hAnsiTheme="majorHAnsi" w:cstheme="majorHAnsi"/>
          <w:b/>
          <w:sz w:val="24"/>
          <w:szCs w:val="22"/>
        </w:rPr>
        <w:t>n Churches Effective Response to HIV in Asia</w:t>
      </w:r>
    </w:p>
    <w:tbl>
      <w:tblPr>
        <w:tblpPr w:leftFromText="180" w:rightFromText="180" w:vertAnchor="text" w:horzAnchor="margin" w:tblpXSpec="center" w:tblpY="593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503"/>
        <w:gridCol w:w="4320"/>
        <w:gridCol w:w="3382"/>
        <w:gridCol w:w="3278"/>
        <w:gridCol w:w="1592"/>
      </w:tblGrid>
      <w:tr w:rsidR="001C25DE" w:rsidRPr="00736182" w:rsidTr="001C25DE">
        <w:trPr>
          <w:trHeight w:val="354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sz w:val="22"/>
                <w:szCs w:val="22"/>
              </w:rPr>
              <w:t>Time</w:t>
            </w:r>
          </w:p>
        </w:tc>
        <w:tc>
          <w:tcPr>
            <w:tcW w:w="1503" w:type="dxa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April 27, 2020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April 28, 2020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April 29, 2020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April 30, 2020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May 1, 2020</w:t>
            </w:r>
          </w:p>
        </w:tc>
      </w:tr>
      <w:tr w:rsidR="001C25DE" w:rsidRPr="00736182" w:rsidTr="001C25DE">
        <w:trPr>
          <w:trHeight w:val="354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07:30 – 09:00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1C25DE" w:rsidRPr="00CD3C80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3C80">
              <w:rPr>
                <w:rFonts w:asciiTheme="majorHAnsi" w:hAnsiTheme="majorHAnsi" w:cstheme="majorHAnsi"/>
                <w:b/>
                <w:sz w:val="22"/>
                <w:szCs w:val="22"/>
              </w:rPr>
              <w:t>Arrival</w:t>
            </w:r>
          </w:p>
        </w:tc>
        <w:tc>
          <w:tcPr>
            <w:tcW w:w="10980" w:type="dxa"/>
            <w:gridSpan w:val="3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Breakfast</w:t>
            </w:r>
          </w:p>
        </w:tc>
        <w:tc>
          <w:tcPr>
            <w:tcW w:w="1592" w:type="dxa"/>
            <w:vMerge w:val="restart"/>
            <w:vAlign w:val="center"/>
          </w:tcPr>
          <w:p w:rsidR="001C25DE" w:rsidRPr="00CD3C80" w:rsidRDefault="001C25DE" w:rsidP="001C25D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3C8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Departure </w:t>
            </w:r>
          </w:p>
        </w:tc>
      </w:tr>
      <w:tr w:rsidR="001C25DE" w:rsidRPr="00736182" w:rsidTr="001C25DE">
        <w:trPr>
          <w:trHeight w:val="878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09:00 – 09:30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Opening Worship</w:t>
            </w:r>
          </w:p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Welcome Remarks by Dr. Mathews George Chunakara – CCA General Secretary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Morning Prayer</w:t>
            </w:r>
          </w:p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 xml:space="preserve">Recap from previous day 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Morning Prayer</w:t>
            </w:r>
          </w:p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Recap from previous day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54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09:30 – 10:30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Introduction, Orientation &amp; Pre-test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SAVE approach: Safer Practices and Access to Treatment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5CFF">
              <w:rPr>
                <w:rFonts w:asciiTheme="majorHAnsi" w:hAnsiTheme="majorHAnsi" w:cstheme="majorHAnsi"/>
                <w:sz w:val="22"/>
                <w:szCs w:val="22"/>
              </w:rPr>
              <w:t>Sharing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of experiences</w:t>
            </w:r>
            <w:r w:rsidRPr="005F5CFF">
              <w:rPr>
                <w:rFonts w:asciiTheme="majorHAnsi" w:hAnsiTheme="majorHAnsi" w:cstheme="majorHAnsi"/>
                <w:sz w:val="22"/>
                <w:szCs w:val="22"/>
              </w:rPr>
              <w:t xml:space="preserve"> from Exposure Visit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54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10:30 – 11:00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980" w:type="dxa"/>
            <w:gridSpan w:val="3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Coffee/Tea Break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54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11:00 – 11:30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Creating and enabling congenial environment for People Living with HIV – a theological reflection</w:t>
            </w:r>
          </w:p>
        </w:tc>
        <w:tc>
          <w:tcPr>
            <w:tcW w:w="3382" w:type="dxa"/>
            <w:vMerge w:val="restart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SAVE approach: Voluntary Counselling and Testing and Empowerment</w:t>
            </w:r>
          </w:p>
        </w:tc>
        <w:tc>
          <w:tcPr>
            <w:tcW w:w="3278" w:type="dxa"/>
            <w:vMerge w:val="restart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Enabling Churches to respond and combat HIV: </w:t>
            </w:r>
            <w:r w:rsidR="006F7BCB">
              <w:rPr>
                <w:rFonts w:asciiTheme="majorHAnsi" w:hAnsiTheme="majorHAnsi" w:cstheme="majorHAnsi"/>
                <w:sz w:val="22"/>
                <w:szCs w:val="22"/>
              </w:rPr>
              <w:t xml:space="preserve">A Tool for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Church Assessment Framework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516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11:30 – 12:30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Human Immunodeficiency Virus situation: Fact sheets about HIV and AIDS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41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12:30 – 14:00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980" w:type="dxa"/>
            <w:gridSpan w:val="3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Lunch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1058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14:00 – 15:30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Human Immunodeficiency Virus: An overview on </w:t>
            </w: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HIV and AIDS Situation in Asia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the </w:t>
            </w: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Role of Churches in Responding to HIV and AIDS</w:t>
            </w:r>
          </w:p>
        </w:tc>
        <w:tc>
          <w:tcPr>
            <w:tcW w:w="3382" w:type="dxa"/>
            <w:vMerge w:val="restart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Exposure Visit to PLHIV Organizations and Network</w:t>
            </w:r>
            <w:r w:rsidR="006F7BCB"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Collaborative Engagement</w:t>
            </w:r>
            <w:r w:rsidR="006F7BCB">
              <w:rPr>
                <w:rFonts w:asciiTheme="majorHAnsi" w:hAnsiTheme="majorHAnsi" w:cstheme="majorHAnsi"/>
                <w:sz w:val="22"/>
                <w:szCs w:val="22"/>
              </w:rPr>
              <w:t xml:space="preserve"> to Combat HIV at local levels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Action Planning</w:t>
            </w:r>
          </w:p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54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15:30 – 16:00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Coffee/Tea Break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Coffee/Tea Break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78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16:00 – 17:00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C25DE" w:rsidRPr="00CD3C80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Breaking Barriers and Building Bridges to Uphold Dignity: Towards overcoming Stigma, Shame, Denial, Discrimination, Inaction,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Misaction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(SSDDIM)</w:t>
            </w:r>
          </w:p>
        </w:tc>
        <w:tc>
          <w:tcPr>
            <w:tcW w:w="3382" w:type="dxa"/>
            <w:vMerge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sz w:val="22"/>
                <w:szCs w:val="22"/>
              </w:rPr>
              <w:t>Post-test</w:t>
            </w:r>
          </w:p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Closing Worship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C25DE" w:rsidRPr="00736182" w:rsidTr="001C25DE">
        <w:trPr>
          <w:trHeight w:val="378"/>
        </w:trPr>
        <w:tc>
          <w:tcPr>
            <w:tcW w:w="1462" w:type="dxa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17:00 - 19:00</w:t>
            </w:r>
          </w:p>
        </w:tc>
        <w:tc>
          <w:tcPr>
            <w:tcW w:w="1503" w:type="dxa"/>
            <w:vMerge/>
            <w:vAlign w:val="center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980" w:type="dxa"/>
            <w:gridSpan w:val="3"/>
            <w:shd w:val="clear" w:color="auto" w:fill="auto"/>
            <w:vAlign w:val="center"/>
          </w:tcPr>
          <w:p w:rsidR="001C25DE" w:rsidRPr="00736182" w:rsidRDefault="001C25DE" w:rsidP="001C25DE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361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Dinner</w:t>
            </w:r>
          </w:p>
        </w:tc>
        <w:tc>
          <w:tcPr>
            <w:tcW w:w="1592" w:type="dxa"/>
            <w:vMerge/>
            <w:shd w:val="clear" w:color="auto" w:fill="auto"/>
          </w:tcPr>
          <w:p w:rsidR="001C25DE" w:rsidRPr="00736182" w:rsidRDefault="001C25DE" w:rsidP="001C25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9F1FF4" w:rsidRPr="001C25DE" w:rsidRDefault="006424CA" w:rsidP="001C25DE">
      <w:pPr>
        <w:jc w:val="center"/>
        <w:rPr>
          <w:rFonts w:asciiTheme="majorHAnsi" w:hAnsiTheme="majorHAnsi" w:cstheme="majorHAnsi"/>
          <w:b/>
          <w:sz w:val="24"/>
          <w:szCs w:val="22"/>
        </w:rPr>
      </w:pPr>
      <w:r>
        <w:rPr>
          <w:rFonts w:asciiTheme="majorHAnsi" w:hAnsiTheme="majorHAnsi" w:cstheme="majorHAnsi"/>
          <w:b/>
          <w:sz w:val="24"/>
          <w:szCs w:val="22"/>
        </w:rPr>
        <w:t>Program</w:t>
      </w:r>
      <w:r w:rsidR="001C25DE">
        <w:rPr>
          <w:rFonts w:asciiTheme="majorHAnsi" w:hAnsiTheme="majorHAnsi" w:cstheme="majorHAnsi"/>
          <w:b/>
          <w:sz w:val="24"/>
          <w:szCs w:val="22"/>
        </w:rPr>
        <w:t>me</w:t>
      </w:r>
      <w:r>
        <w:rPr>
          <w:rFonts w:asciiTheme="majorHAnsi" w:hAnsiTheme="majorHAnsi" w:cstheme="majorHAnsi"/>
          <w:b/>
          <w:sz w:val="24"/>
          <w:szCs w:val="22"/>
        </w:rPr>
        <w:t xml:space="preserve"> Schedule</w:t>
      </w:r>
    </w:p>
    <w:sectPr w:rsidR="009F1FF4" w:rsidRPr="001C25DE" w:rsidSect="00017BD8"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37" w:rsidRDefault="003A3B37" w:rsidP="00556C76">
      <w:r>
        <w:separator/>
      </w:r>
    </w:p>
  </w:endnote>
  <w:endnote w:type="continuationSeparator" w:id="0">
    <w:p w:rsidR="003A3B37" w:rsidRDefault="003A3B37" w:rsidP="0055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76" w:rsidRPr="0074669E" w:rsidRDefault="00556C76" w:rsidP="0074669E">
    <w:pPr>
      <w:pStyle w:val="Footer"/>
      <w:ind w:right="-871"/>
      <w:jc w:val="right"/>
      <w:rPr>
        <w:rFonts w:asciiTheme="majorHAnsi" w:hAnsiTheme="majorHAnsi" w:cstheme="majorHAnsi"/>
        <w:sz w:val="22"/>
      </w:rPr>
    </w:pPr>
    <w:r w:rsidRPr="0074669E">
      <w:rPr>
        <w:rFonts w:asciiTheme="majorHAnsi" w:hAnsiTheme="majorHAnsi" w:cstheme="majorHAnsi"/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6B00BED3" wp14:editId="16A592CD">
          <wp:simplePos x="0" y="0"/>
          <wp:positionH relativeFrom="column">
            <wp:posOffset>-647700</wp:posOffset>
          </wp:positionH>
          <wp:positionV relativeFrom="page">
            <wp:posOffset>10029825</wp:posOffset>
          </wp:positionV>
          <wp:extent cx="2078990" cy="2743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669E">
      <w:rPr>
        <w:rFonts w:asciiTheme="majorHAnsi" w:hAnsiTheme="majorHAnsi" w:cstheme="majorHAnsi"/>
        <w:sz w:val="22"/>
      </w:rPr>
      <w:t>Action Together in Comba</w:t>
    </w:r>
    <w:r w:rsidR="00815C7B">
      <w:rPr>
        <w:rFonts w:asciiTheme="majorHAnsi" w:hAnsiTheme="majorHAnsi" w:cstheme="majorHAnsi"/>
        <w:sz w:val="22"/>
      </w:rPr>
      <w:t>t</w:t>
    </w:r>
    <w:r w:rsidRPr="0074669E">
      <w:rPr>
        <w:rFonts w:asciiTheme="majorHAnsi" w:hAnsiTheme="majorHAnsi" w:cstheme="majorHAnsi"/>
        <w:sz w:val="22"/>
      </w:rPr>
      <w:t>ting HIV and AIDS in Asia (ATCHAA)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6D" w:rsidRPr="0074669E" w:rsidRDefault="00A9446D" w:rsidP="0074669E">
    <w:pPr>
      <w:pStyle w:val="Footer"/>
      <w:ind w:right="-871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-55880</wp:posOffset>
          </wp:positionV>
          <wp:extent cx="2078990" cy="2743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669E">
      <w:rPr>
        <w:rFonts w:asciiTheme="majorHAnsi" w:hAnsiTheme="majorHAnsi" w:cstheme="majorHAnsi"/>
        <w:noProof/>
        <w:sz w:val="22"/>
        <w:lang w:eastAsia="en-GB"/>
      </w:rPr>
      <w:drawing>
        <wp:anchor distT="0" distB="0" distL="114300" distR="114300" simplePos="0" relativeHeight="251660288" behindDoc="0" locked="0" layoutInCell="1" allowOverlap="1" wp14:anchorId="797811B5" wp14:editId="0E4C4FBB">
          <wp:simplePos x="0" y="0"/>
          <wp:positionH relativeFrom="column">
            <wp:posOffset>-647700</wp:posOffset>
          </wp:positionH>
          <wp:positionV relativeFrom="page">
            <wp:posOffset>10029825</wp:posOffset>
          </wp:positionV>
          <wp:extent cx="2078990" cy="2743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669E">
      <w:rPr>
        <w:rFonts w:asciiTheme="majorHAnsi" w:hAnsiTheme="majorHAnsi" w:cstheme="majorHAnsi"/>
        <w:sz w:val="22"/>
      </w:rPr>
      <w:t>Action Together in Combating HIV and AIDS in Asia (ATCHAA)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37" w:rsidRDefault="003A3B37" w:rsidP="00556C76">
      <w:r>
        <w:separator/>
      </w:r>
    </w:p>
  </w:footnote>
  <w:footnote w:type="continuationSeparator" w:id="0">
    <w:p w:rsidR="003A3B37" w:rsidRDefault="003A3B37" w:rsidP="0055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1F1A"/>
    <w:multiLevelType w:val="hybridMultilevel"/>
    <w:tmpl w:val="DA1620AC"/>
    <w:lvl w:ilvl="0" w:tplc="FDFC6096">
      <w:start w:val="25"/>
      <w:numFmt w:val="bullet"/>
      <w:lvlText w:val="-"/>
      <w:lvlJc w:val="left"/>
      <w:pPr>
        <w:ind w:left="63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15C7FAE"/>
    <w:multiLevelType w:val="hybridMultilevel"/>
    <w:tmpl w:val="FDA6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3B1A"/>
    <w:multiLevelType w:val="hybridMultilevel"/>
    <w:tmpl w:val="0EEE3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4C2C"/>
    <w:multiLevelType w:val="hybridMultilevel"/>
    <w:tmpl w:val="0E0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33AB5"/>
    <w:multiLevelType w:val="hybridMultilevel"/>
    <w:tmpl w:val="C0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0F26"/>
    <w:multiLevelType w:val="hybridMultilevel"/>
    <w:tmpl w:val="05A2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35FA"/>
    <w:multiLevelType w:val="hybridMultilevel"/>
    <w:tmpl w:val="00CA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23E9"/>
    <w:multiLevelType w:val="hybridMultilevel"/>
    <w:tmpl w:val="BC2C80AC"/>
    <w:lvl w:ilvl="0" w:tplc="B2C60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65253"/>
    <w:multiLevelType w:val="hybridMultilevel"/>
    <w:tmpl w:val="20B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A5F2C"/>
    <w:multiLevelType w:val="hybridMultilevel"/>
    <w:tmpl w:val="E0A6BB52"/>
    <w:lvl w:ilvl="0" w:tplc="51FC9F1A">
      <w:numFmt w:val="bullet"/>
      <w:lvlText w:val="-"/>
      <w:lvlJc w:val="left"/>
      <w:pPr>
        <w:ind w:left="360" w:hanging="360"/>
      </w:pPr>
      <w:rPr>
        <w:rFonts w:ascii="Calisto MT" w:eastAsia="Calibri" w:hAnsi="Calisto MT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26787"/>
    <w:multiLevelType w:val="hybridMultilevel"/>
    <w:tmpl w:val="87FA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A35B7"/>
    <w:multiLevelType w:val="hybridMultilevel"/>
    <w:tmpl w:val="B9DC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2MLAwMTA3sTQ3MzZW0lEKTi0uzszPAykwrAUAD+xJDCwAAAA="/>
  </w:docVars>
  <w:rsids>
    <w:rsidRoot w:val="004A0FC7"/>
    <w:rsid w:val="00046FD8"/>
    <w:rsid w:val="00072C5D"/>
    <w:rsid w:val="001873F5"/>
    <w:rsid w:val="001B3BAB"/>
    <w:rsid w:val="001C25DE"/>
    <w:rsid w:val="001E28E8"/>
    <w:rsid w:val="00246798"/>
    <w:rsid w:val="00282963"/>
    <w:rsid w:val="002D223A"/>
    <w:rsid w:val="003126B9"/>
    <w:rsid w:val="0032220C"/>
    <w:rsid w:val="00346C2E"/>
    <w:rsid w:val="00356591"/>
    <w:rsid w:val="003A3B37"/>
    <w:rsid w:val="003E16D8"/>
    <w:rsid w:val="00450BFE"/>
    <w:rsid w:val="00491178"/>
    <w:rsid w:val="00493A8A"/>
    <w:rsid w:val="004A0FC7"/>
    <w:rsid w:val="004B5FBD"/>
    <w:rsid w:val="004C33F8"/>
    <w:rsid w:val="004D4C1C"/>
    <w:rsid w:val="004E1DCB"/>
    <w:rsid w:val="0050120C"/>
    <w:rsid w:val="00503EFE"/>
    <w:rsid w:val="00504EBB"/>
    <w:rsid w:val="00556C76"/>
    <w:rsid w:val="00582E4C"/>
    <w:rsid w:val="005E2369"/>
    <w:rsid w:val="005F5CFF"/>
    <w:rsid w:val="006424CA"/>
    <w:rsid w:val="00665265"/>
    <w:rsid w:val="006A3543"/>
    <w:rsid w:val="006F7BCB"/>
    <w:rsid w:val="00733D37"/>
    <w:rsid w:val="0074669E"/>
    <w:rsid w:val="00765EE9"/>
    <w:rsid w:val="00815C7B"/>
    <w:rsid w:val="00882914"/>
    <w:rsid w:val="009834F6"/>
    <w:rsid w:val="009A4FC0"/>
    <w:rsid w:val="009F1FF4"/>
    <w:rsid w:val="009F3EBB"/>
    <w:rsid w:val="00A9446D"/>
    <w:rsid w:val="00AF79CD"/>
    <w:rsid w:val="00B15079"/>
    <w:rsid w:val="00C26CE8"/>
    <w:rsid w:val="00C8056A"/>
    <w:rsid w:val="00C818D0"/>
    <w:rsid w:val="00CD3C80"/>
    <w:rsid w:val="00DD3496"/>
    <w:rsid w:val="00E27452"/>
    <w:rsid w:val="00F554CF"/>
    <w:rsid w:val="00F57453"/>
    <w:rsid w:val="00F77990"/>
    <w:rsid w:val="00F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55956-DB8F-4BB1-8CD8-837F9FC0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C7"/>
    <w:pPr>
      <w:tabs>
        <w:tab w:val="left" w:pos="357"/>
        <w:tab w:val="left" w:pos="539"/>
        <w:tab w:val="left" w:pos="1077"/>
        <w:tab w:val="left" w:pos="3958"/>
        <w:tab w:val="left" w:pos="5585"/>
      </w:tabs>
    </w:pPr>
    <w:rPr>
      <w:rFonts w:ascii="Times New Roman" w:eastAsia="Times New Roman" w:hAnsi="Times New Roman"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C76"/>
    <w:pPr>
      <w:tabs>
        <w:tab w:val="clear" w:pos="357"/>
        <w:tab w:val="clear" w:pos="539"/>
        <w:tab w:val="clear" w:pos="1077"/>
        <w:tab w:val="clear" w:pos="3958"/>
        <w:tab w:val="clear" w:pos="558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C76"/>
    <w:rPr>
      <w:rFonts w:ascii="Times New Roman" w:eastAsia="Times New Roman" w:hAnsi="Times New Roman"/>
      <w:sz w:val="26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6C76"/>
    <w:pPr>
      <w:tabs>
        <w:tab w:val="clear" w:pos="357"/>
        <w:tab w:val="clear" w:pos="539"/>
        <w:tab w:val="clear" w:pos="1077"/>
        <w:tab w:val="clear" w:pos="3958"/>
        <w:tab w:val="clear" w:pos="558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C76"/>
    <w:rPr>
      <w:rFonts w:ascii="Times New Roman" w:eastAsia="Times New Roman" w:hAnsi="Times New Roman"/>
      <w:sz w:val="26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D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CBB9-1286-4731-8A4C-07517D74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Lalthanmawia</dc:creator>
  <cp:keywords/>
  <dc:description/>
  <cp:lastModifiedBy>Ruth</cp:lastModifiedBy>
  <cp:revision>8</cp:revision>
  <cp:lastPrinted>2020-02-13T04:16:00Z</cp:lastPrinted>
  <dcterms:created xsi:type="dcterms:W3CDTF">2020-02-03T05:08:00Z</dcterms:created>
  <dcterms:modified xsi:type="dcterms:W3CDTF">2020-02-17T02:54:00Z</dcterms:modified>
</cp:coreProperties>
</file>